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1A1A1A"/>
          <w:sz w:val="44"/>
          <w:szCs w:val="44"/>
        </w:rPr>
        <w:t xml:space="preserve">Magoma Charles Kevin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555555"/>
          <w:sz w:val="24"/>
          <w:szCs w:val="24"/>
        </w:rPr>
        <w:t xml:space="preserve">Finance &amp; Business Development Professional</w:t>
      </w:r>
    </w:p>
    <w:p>
      <w:pPr>
        <w:spacing w:after="20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55555"/>
          <w:sz w:val="20"/>
          <w:szCs w:val="20"/>
        </w:rPr>
        <w:t xml:space="preserve">charles77kevin@gmail.com  |  +1 971-419-9271  |  Houston, TX, United States  |  linkedin.com/in/kevin-charles-magoma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PROFESSIONAL SUMMARY</w:t>
      </w:r>
    </w:p>
    <w:p>
      <w:pPr>
        <w:spacing w:after="16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Finance and accounting professional with 4+ years of experience spanning financial advisory, business development, and data analytics — combining deep domain expertise with Python/SQL fluency, technical writing, and the rigorous evaluation skills that AI-training and evaluation projects demand.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CORE COMPETENCIES</w:t>
      </w:r>
    </w:p>
    <w:p>
      <w:pPr>
        <w:spacing w:after="160" w:line="276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22"/>
          <w:szCs w:val="22"/>
        </w:rPr>
        <w:t xml:space="preserve">4+ Years Experience   |   $3.5M+ Pipeline Generated   |   $20M Client Asset Growth   |   60% Reporting Time Cut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PROFESSIONAL EXPERIENCE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Data &amp; Reporting Analyst (Contract)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Independent / Freelance  |  Houston, TX (Remote)  |  May 2025 – Present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Build automated reporting pipelines in Python (pandas, openpyxl) and SQL that consolidate multi-source financial data into executive-ready dashboards, cutting manual reporting time by 60%.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Author technical documentation, data dictionaries, and metric definitions for internal models — ensuring every assumption, edge case, and source is traceable, the same documentation rigor applied to high-quality domain annotation.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Perform fact-checking and quality review on AI-generated financial content, flagging factual errors, hallucinated citations, and imprecise terminology (e.g. conflating "alpha" with "excess return") before publication.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Translate ambiguous business questions into structured analytical tasks with clear acceptance criteria and reviewer-friendly documentation — the same skill that makes for reliable, auditable evaluation work.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Business &amp; Real Estate Consultant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PAC Consulting  |  Houston, TX  |  Oct 2024 – Apr 2025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Achieved 125% of business development targets through strategic client acquisition and relationship management with high-net-worth prospects.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Sourced 15+ qualified leads monthly through a consultative approach, converting them into long-term consulting partnerships.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Collaborated with business partners to align client acquisition efforts, creating $2.1M in new business pipeline across real estate and consulting services.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Overcame objections around investment risk and market volatility by providing data-driven insights and comprehensive market analysis.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Financial Advisor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Equitable Advisors  |  Houston, TX  |  Oct 2021 – Apr 2024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Exceeded performance benchmarks by 130% through persistent prospecting and relationship-building with high-net-worth decision-makers.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Generated 12+ sales-qualified opportunities monthly by conducting in-depth financial assessments and identifying wealth-accumulation opportunities.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Partnered with senior advisors to provide actionable insights on client interactions and market trends, driving portfolio growth and revenue expansion.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Calibri" w:cs="Calibri" w:eastAsia="Calibri" w:hAnsi="Calibri"/>
          <w:color w:val="1A1A1A"/>
          <w:sz w:val="22"/>
          <w:szCs w:val="22"/>
        </w:rPr>
        <w:t xml:space="preserve">Navigated complex financial objections and compliance requirements, maintaining consistent client acquisition and portfolio management across diverse investment strategies.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SKILLS</w:t>
      </w:r>
    </w:p>
    <w:p>
      <w:pPr>
        <w:spacing w:after="8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22"/>
          <w:szCs w:val="22"/>
        </w:rPr>
        <w:t xml:space="preserve">Domain Expertise: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Financial Analysis  •  Investment Strategy  •  Accounting Principles  •  Wealth Management  •  Real Estate Finance  •  Risk Assessment  •  Regulatory Compliance  •  Market Research</w:t>
      </w:r>
    </w:p>
    <w:p>
      <w:pPr>
        <w:spacing w:after="8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22"/>
          <w:szCs w:val="22"/>
        </w:rPr>
        <w:t xml:space="preserve">Sales &amp; Business Development: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Lead Generation  •  Lead Qualification  •  Strategic Prospecting  •  Cold Calling  •  Consultative Selling  •  Client Relationship Management  •  Pipeline Management  •  CRM</w:t>
      </w:r>
    </w:p>
    <w:p>
      <w:pPr>
        <w:spacing w:after="8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22"/>
          <w:szCs w:val="22"/>
        </w:rPr>
        <w:t xml:space="preserve">Tools &amp; Technology: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Salesforce  •  Sales Navigator  •  ZoomInfo  •  Apollo.io  •  Microsoft Excel  •  Financial Modeling</w:t>
      </w:r>
    </w:p>
    <w:p>
      <w:pPr>
        <w:spacing w:after="8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22"/>
          <w:szCs w:val="22"/>
        </w:rPr>
        <w:t xml:space="preserve">Technical &amp; Data: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Python (pandas, openpyxl)  •  SQL  •  Tableau / Power BI  •  Technical Writing  •  Data Visualization  •  Git / Version Control  •  Prompt Engineering  •  Documentation / Data Dictionaries</w:t>
      </w:r>
    </w:p>
    <w:p>
      <w:pPr>
        <w:spacing w:after="8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22"/>
          <w:szCs w:val="22"/>
        </w:rPr>
        <w:t xml:space="preserve">Analytical &amp; Communication: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Data-Driven Analysis  •  Written Communication  •  Fact-Checking  •  Research  •  Critical Evaluation  •  Attention to Detail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KEY ACHIEVEMENTS</w:t>
      </w:r>
    </w:p>
    <w:p>
      <w:pPr>
        <w:spacing w:after="4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22"/>
          <w:szCs w:val="22"/>
        </w:rPr>
        <w:t xml:space="preserve">$3.5M+ — Pipeline Generation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Generated over $3.5M in qualified pipeline across multiple roles through strategic prospecting and lead qualification, consistently sourcing 12–15 sales-qualified leads per week via targeted outreach and consultative selling.</w:t>
      </w:r>
    </w:p>
    <w:p>
      <w:pPr>
        <w:spacing w:after="4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22"/>
          <w:szCs w:val="22"/>
        </w:rPr>
        <w:t xml:space="preserve">$20M — Client Portfolio Growth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Guided 50+ clients in strategic business growth and real estate investments, collectively boosting their asset value by $20M while maintaining relationships with 100+ high-net-worth clients.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BBA in Accounting and Finance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State University of New York at Old Westbury  |  Old Westbury, NY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Bachelor of Business Administration with a concentration in Accounting and Finance — foundational expertise in financial reporting, corporate finance, investment analysis, and accounting principles.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CERTIFICATIONS &amp; CONTINUING EDUCATION</w:t>
      </w:r>
    </w:p>
    <w:p>
      <w:pPr>
        <w:spacing w:after="4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22"/>
          <w:szCs w:val="22"/>
        </w:rPr>
        <w:t xml:space="preserve">Google Data Analytics Professional Certificate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55555"/>
          <w:sz w:val="22"/>
          <w:szCs w:val="22"/>
        </w:rPr>
        <w:t xml:space="preserve">  (2025)</w:t>
      </w:r>
    </w:p>
    <w:p>
      <w:pPr>
        <w:spacing w:after="10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Google / Coursera  |  ID: GDA-2025-KM  |  Skills: SQL, R, Tableau, Data Cleaning, Data Visualization</w:t>
      </w:r>
    </w:p>
    <w:p>
      <w:pPr>
        <w:spacing w:after="4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22"/>
          <w:szCs w:val="22"/>
        </w:rPr>
        <w:t xml:space="preserve">Python for Finance Specialization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55555"/>
          <w:sz w:val="22"/>
          <w:szCs w:val="22"/>
        </w:rPr>
        <w:t xml:space="preserve">  (2025)</w:t>
      </w:r>
    </w:p>
    <w:p>
      <w:pPr>
        <w:spacing w:after="10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Coursera  |  ID: PYF-SPEC-2025  |  Skills: pandas, NumPy, Financial Modeling, Time Series</w:t>
      </w:r>
    </w:p>
    <w:p>
      <w:pPr>
        <w:spacing w:after="4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22"/>
          <w:szCs w:val="22"/>
        </w:rPr>
        <w:t xml:space="preserve">Machine Learning Specialization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55555"/>
          <w:sz w:val="22"/>
          <w:szCs w:val="22"/>
        </w:rPr>
        <w:t xml:space="preserve">  (2024)</w:t>
      </w:r>
    </w:p>
    <w:p>
      <w:pPr>
        <w:spacing w:after="10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DeepLearning.AI / Coursera  |  ID: MLS-2024-KM  |  Skills: Supervised Learning, Neural Networks, Model Evaluation</w:t>
      </w:r>
    </w:p>
    <w:p>
      <w:pPr>
        <w:spacing w:after="4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22"/>
          <w:szCs w:val="22"/>
        </w:rPr>
        <w:t xml:space="preserve">Prompt Engineering for LLMs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55555"/>
          <w:sz w:val="22"/>
          <w:szCs w:val="22"/>
        </w:rPr>
        <w:t xml:space="preserve">  (2024)</w:t>
      </w:r>
    </w:p>
    <w:p>
      <w:pPr>
        <w:spacing w:after="10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DeepLearning.AI  |  ID: PE-LLM-2024  |  Skills: Prompt Design, RLHF, LLM Evaluation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1A1A1A"/>
          <w:sz w:val="24"/>
          <w:szCs w:val="24"/>
        </w:rPr>
        <w:t xml:space="preserve">AWARDS</w:t>
      </w:r>
    </w:p>
    <w:p>
      <w:pPr>
        <w:spacing w:after="4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22"/>
          <w:szCs w:val="22"/>
        </w:rPr>
        <w:t xml:space="preserve">Life Leaders Award (2023)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Equitable Advisors — Ranked in the top tier of financial advisors for outstanding client acquisition and portfolio performance.</w:t>
      </w:r>
    </w:p>
    <w:p>
      <w:pPr>
        <w:spacing w:after="4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1A1A1A"/>
          <w:sz w:val="22"/>
          <w:szCs w:val="22"/>
        </w:rPr>
        <w:t xml:space="preserve">Fast Start Award (2022)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A1A1A"/>
          <w:sz w:val="22"/>
          <w:szCs w:val="22"/>
        </w:rPr>
        <w:t xml:space="preserve">Equitable Advisors — Recognized among top representatives in the new hiring class for exceptional business performance within the first 60 days (20k credits).</w:t>
      </w:r>
    </w:p>
    <w:sectPr>
      <w:pgSz w:w="11906" w:h="16838" w:orient="portrait"/>
      <w:pgMar w:top="1152" w:right="1296" w:bottom="1152" w:left="1296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Magoma — Resume</dc:title>
  <dc:creator>Kevin Magoma</dc:creator>
  <dc:description>Resume</dc:description>
  <cp:lastModifiedBy>Un-named</cp:lastModifiedBy>
  <cp:revision>1</cp:revision>
  <dcterms:created xsi:type="dcterms:W3CDTF">2026-06-19T16:31:41.559Z</dcterms:created>
  <dcterms:modified xsi:type="dcterms:W3CDTF">2026-06-19T16:31:41.560Z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